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496"/>
        <w:gridCol w:w="1656"/>
      </w:tblGrid>
      <w:tr>
        <w:tc>
          <w:tcPr>
            <w:tcW w:type="dxa" w:w="5141"/>
            <w:tcMar>
              <w:top w:w="0" w:type="dxa"/>
              <w:start w:w="0" w:type="dxa"/>
              <w:bottom w:w="0" w:type="dxa"/>
              <w:end w:w="0" w:type="dxa"/>
            </w:tcMar>
            <w:tcBorders>
              <w:top w:val="nil"/>
              <w:left w:val="nil"/>
              <w:bottom w:val="nil"/>
              <w:right w:val="nil"/>
              <w:insideH w:val="nil"/>
              <w:insideV w:val="nil"/>
            </w:tcBorders>
          </w:tcPr>
          <w:p>
            <w:pPr>
              <w:pStyle w:val="Kicker"/>
              <w:spacing w:after="0"/>
            </w:pPr>
            <w:r>
              <w:t>PRESS RELEASE</w:t>
            </w:r>
          </w:p>
          <w:p>
            <w:pPr>
              <w:spacing w:after="0"/>
            </w:pPr>
            <w:r>
              <w:rPr>
                <w:rFonts w:ascii="Arial" w:hAnsi="Arial"/>
                <w:color w:val="464646"/>
                <w:sz w:val="20"/>
              </w:rPr>
              <w:t>23 September 2026</w:t>
            </w:r>
          </w:p>
        </w:tc>
        <w:tc>
          <w:tcPr>
            <w:tcW w:type="dxa" w:w="5141"/>
            <w:tcMar>
              <w:top w:w="0" w:type="dxa"/>
              <w:start w:w="0" w:type="dxa"/>
              <w:bottom w:w="0" w:type="dxa"/>
              <w:end w:w="0" w:type="dxa"/>
            </w:tcMar>
            <w:tcBorders>
              <w:top w:val="nil"/>
              <w:left w:val="nil"/>
              <w:bottom w:val="nil"/>
              <w:right w:val="nil"/>
              <w:insideH w:val="nil"/>
              <w:insideV w:val="nil"/>
            </w:tcBorders>
          </w:tcPr>
          <w:p>
            <w:pPr>
              <w:jc w:val="right"/>
            </w:pPr>
            <w:r>
              <w:drawing>
                <wp:inline xmlns:a="http://schemas.openxmlformats.org/drawingml/2006/main" xmlns:pic="http://schemas.openxmlformats.org/drawingml/2006/picture">
                  <wp:extent cx="932688" cy="440436"/>
                  <wp:docPr id="1" name="Picture 1"/>
                  <wp:cNvGraphicFramePr>
                    <a:graphicFrameLocks noChangeAspect="1"/>
                  </wp:cNvGraphicFramePr>
                  <a:graphic>
                    <a:graphicData uri="http://schemas.openxmlformats.org/drawingml/2006/picture">
                      <pic:pic>
                        <pic:nvPicPr>
                          <pic:cNvPr id="0" name="sici_badge_black.png"/>
                          <pic:cNvPicPr/>
                        </pic:nvPicPr>
                        <pic:blipFill>
                          <a:blip r:embed="rId10"/>
                          <a:stretch>
                            <a:fillRect/>
                          </a:stretch>
                        </pic:blipFill>
                        <pic:spPr>
                          <a:xfrm>
                            <a:off x="0" y="0"/>
                            <a:ext cx="932688" cy="440436"/>
                          </a:xfrm>
                          <a:prstGeom prst="rect"/>
                        </pic:spPr>
                      </pic:pic>
                    </a:graphicData>
                  </a:graphic>
                </wp:inline>
              </w:drawing>
            </w:r>
          </w:p>
        </w:tc>
      </w:tr>
    </w:tbl>
    <w:p>
      <w:pPr>
        <w:pStyle w:val="Title"/>
        <w:spacing w:before="200" w:after="160"/>
      </w:pPr>
      <w:r>
        <w:rPr>
          <w:rFonts w:ascii="Arial" w:hAnsi="Arial"/>
          <w:b/>
        </w:rPr>
        <w:t>Median starting cost for 11 nights during COP31 in Antalya reaches €2,382</w:t>
      </w:r>
    </w:p>
    <w:p>
      <w:pPr>
        <w:pStyle w:val="Standfirst"/>
        <w:pBdr>
          <w:bottom w:val="single" w:sz="6" w:space="6" w:color="C8C8C8"/>
        </w:pBdr>
      </w:pPr>
      <w:r>
        <w:t>SICI’s analysis of 208 properties on the official COP31 accommodation platform finds that only 13.5% have a Starting Cost of €1,000 or less for 9–20 November. Accommodation closer to the conference venue is also substantially more expensive.</w:t>
      </w:r>
    </w:p>
    <w:p>
      <w:pPr>
        <w:spacing w:after="120" w:line="254" w:lineRule="auto"/>
      </w:pPr>
      <w:r>
        <w:rPr>
          <w:rFonts w:ascii="Arial" w:hAnsi="Arial"/>
          <w:b/>
        </w:rPr>
        <w:t xml:space="preserve">ANTALYA, Türkiye — 23 September 2026 — </w:t>
      </w:r>
      <w:r>
        <w:t>New research by Social Institute of Change and Impact (SICI) finds that the median Starting Cost of accommodation listed on the official COP31 booking platform is €2,381.72 for the 11-night conference period.</w:t>
      </w:r>
    </w:p>
    <w:p>
      <w:pPr>
        <w:spacing w:after="120" w:line="254" w:lineRule="auto"/>
      </w:pPr>
      <w:r>
        <w:t>The research is published on COP31Radar, a platform established by SICI to follow preparations for the UN Climate Change Conference COP31, taking place in Antalya in November.</w:t>
      </w:r>
    </w:p>
    <w:p>
      <w:pPr>
        <w:spacing w:after="120" w:line="254" w:lineRule="auto"/>
      </w:pPr>
      <w:r>
        <w:t>SICI analysed 208 properties available to book on the official accommodation platform for 9–20 November 2026. Only 28 properties — 13.5% of the total — had a Starting Cost of €1,000 or less.</w:t>
      </w:r>
    </w:p>
    <w:p>
      <w:pPr>
        <w:spacing w:after="120" w:line="254" w:lineRule="auto"/>
      </w:pPr>
      <w:r>
        <w:t>Prices also differed markedly by distance from the conference venue. Properties within 30 kilometres of COP31 had a Median Starting Cost of €3,300, compared with €1,666.50 for properties more than 30 kilometres away.</w:t>
      </w:r>
    </w:p>
    <w:tbl>
      <w:tblPr>
        <w:tblW w:type="auto" w:w="0"/>
        <w:jc w:val="center"/>
        <w:tblLayout w:type="fixed"/>
        <w:tblLook w:firstColumn="1" w:firstRow="1" w:lastColumn="0" w:lastRow="0" w:noHBand="0" w:noVBand="1" w:val="04A0"/>
      </w:tblPr>
      <w:tblGrid>
        <w:gridCol w:w="5141"/>
        <w:gridCol w:w="5141"/>
      </w:tblGrid>
      <w:tr>
        <w:tc>
          <w:tcPr>
            <w:tcW w:type="dxa" w:w="5141"/>
            <w:tcMar>
              <w:top w:w="150" w:type="dxa"/>
              <w:start w:w="160" w:type="dxa"/>
              <w:bottom w:w="135" w:type="dxa"/>
              <w:end w:w="160" w:type="dxa"/>
            </w:tcMar>
            <w:shd w:fill="000000"/>
            <w:tcBorders>
              <w:top w:val="single" w:sz="14" w:color="FFFFFF"/>
              <w:left w:val="single" w:sz="14" w:color="FFFFFF"/>
              <w:bottom w:val="single" w:sz="14" w:color="FFFFFF"/>
              <w:right w:val="single" w:sz="14" w:color="FFFFFF"/>
            </w:tcBorders>
          </w:tcPr>
          <w:p>
            <w:pPr>
              <w:spacing w:after="20"/>
            </w:pPr>
            <w:r>
              <w:rPr>
                <w:rFonts w:ascii="Arial" w:hAnsi="Arial"/>
                <w:b/>
                <w:color w:val="FFFFFF"/>
                <w:sz w:val="48"/>
              </w:rPr>
              <w:t>€2,381.72</w:t>
            </w:r>
          </w:p>
          <w:p>
            <w:pPr>
              <w:spacing w:after="0"/>
            </w:pPr>
            <w:r>
              <w:rPr>
                <w:rFonts w:ascii="Arial" w:hAnsi="Arial"/>
                <w:color w:val="FFFFFF"/>
                <w:sz w:val="18"/>
              </w:rPr>
              <w:t>Median Starting Cost</w:t>
            </w:r>
          </w:p>
        </w:tc>
        <w:tc>
          <w:tcPr>
            <w:tcW w:type="dxa" w:w="5141"/>
            <w:tcMar>
              <w:top w:w="150" w:type="dxa"/>
              <w:start w:w="160" w:type="dxa"/>
              <w:bottom w:w="135" w:type="dxa"/>
              <w:end w:w="160" w:type="dxa"/>
            </w:tcMar>
            <w:shd w:fill="F2F2F2"/>
            <w:tcBorders>
              <w:top w:val="single" w:sz="14" w:color="FFFFFF"/>
              <w:left w:val="single" w:sz="14" w:color="FFFFFF"/>
              <w:bottom w:val="single" w:sz="14" w:color="FFFFFF"/>
              <w:right w:val="single" w:sz="14" w:color="FFFFFF"/>
            </w:tcBorders>
          </w:tcPr>
          <w:p>
            <w:pPr>
              <w:spacing w:after="20"/>
            </w:pPr>
            <w:r>
              <w:rPr>
                <w:rFonts w:ascii="Arial" w:hAnsi="Arial"/>
                <w:b/>
                <w:color w:val="000000"/>
                <w:sz w:val="48"/>
              </w:rPr>
              <w:t>13.5%</w:t>
            </w:r>
          </w:p>
          <w:p>
            <w:pPr>
              <w:spacing w:after="0"/>
            </w:pPr>
            <w:r>
              <w:rPr>
                <w:rFonts w:ascii="Arial" w:hAnsi="Arial"/>
                <w:color w:val="191919"/>
                <w:sz w:val="18"/>
              </w:rPr>
              <w:t>Share at €1,000 or less</w:t>
            </w:r>
          </w:p>
        </w:tc>
      </w:tr>
      <w:tr>
        <w:tc>
          <w:tcPr>
            <w:tcW w:type="dxa" w:w="5141"/>
            <w:tcMar>
              <w:top w:w="150" w:type="dxa"/>
              <w:start w:w="160" w:type="dxa"/>
              <w:bottom w:w="135" w:type="dxa"/>
              <w:end w:w="160" w:type="dxa"/>
            </w:tcMar>
            <w:shd w:fill="F2F2F2"/>
            <w:tcBorders>
              <w:top w:val="single" w:sz="14" w:color="FFFFFF"/>
              <w:left w:val="single" w:sz="14" w:color="FFFFFF"/>
              <w:bottom w:val="single" w:sz="14" w:color="FFFFFF"/>
              <w:right w:val="single" w:sz="14" w:color="FFFFFF"/>
            </w:tcBorders>
          </w:tcPr>
          <w:p>
            <w:pPr>
              <w:spacing w:after="20"/>
            </w:pPr>
            <w:r>
              <w:rPr>
                <w:rFonts w:ascii="Arial" w:hAnsi="Arial"/>
                <w:b/>
                <w:color w:val="000000"/>
                <w:sz w:val="48"/>
              </w:rPr>
              <w:t>€3,300</w:t>
            </w:r>
          </w:p>
          <w:p>
            <w:pPr>
              <w:spacing w:after="0"/>
            </w:pPr>
            <w:r>
              <w:rPr>
                <w:rFonts w:ascii="Arial" w:hAnsi="Arial"/>
                <w:color w:val="191919"/>
                <w:sz w:val="18"/>
              </w:rPr>
              <w:t>Median Starting Cost within 30 km</w:t>
            </w:r>
          </w:p>
        </w:tc>
        <w:tc>
          <w:tcPr>
            <w:tcW w:type="dxa" w:w="5141"/>
            <w:tcMar>
              <w:top w:w="150" w:type="dxa"/>
              <w:start w:w="160" w:type="dxa"/>
              <w:bottom w:w="135" w:type="dxa"/>
              <w:end w:w="160" w:type="dxa"/>
            </w:tcMar>
            <w:shd w:fill="F2F2F2"/>
            <w:tcBorders>
              <w:top w:val="single" w:sz="14" w:color="FFFFFF"/>
              <w:left w:val="single" w:sz="14" w:color="FFFFFF"/>
              <w:bottom w:val="single" w:sz="14" w:color="FFFFFF"/>
              <w:right w:val="single" w:sz="14" w:color="FFFFFF"/>
            </w:tcBorders>
          </w:tcPr>
          <w:p>
            <w:pPr>
              <w:spacing w:after="20"/>
            </w:pPr>
            <w:r>
              <w:rPr>
                <w:rFonts w:ascii="Arial" w:hAnsi="Arial"/>
                <w:b/>
                <w:color w:val="000000"/>
                <w:sz w:val="48"/>
              </w:rPr>
              <w:t>€1,666.50</w:t>
            </w:r>
          </w:p>
          <w:p>
            <w:pPr>
              <w:spacing w:after="0"/>
            </w:pPr>
            <w:r>
              <w:rPr>
                <w:rFonts w:ascii="Arial" w:hAnsi="Arial"/>
                <w:color w:val="191919"/>
                <w:sz w:val="18"/>
              </w:rPr>
              <w:t>Median Starting Cost beyond 30 km</w:t>
            </w:r>
          </w:p>
        </w:tc>
      </w:tr>
    </w:tbl>
    <w:p>
      <w:pPr>
        <w:pStyle w:val="Heading1"/>
        <w:spacing w:before="180" w:after="80"/>
      </w:pPr>
      <w:r>
        <w:t>Key findings</w:t>
      </w:r>
    </w:p>
    <w:p>
      <w:pPr>
        <w:pStyle w:val="ListBullet"/>
        <w:spacing w:after="40"/>
        <w:ind w:left="259" w:hanging="115"/>
      </w:pPr>
      <w:r>
        <w:t>Only 28 of the 208 properties had a Starting Cost of €1,000 or less.</w:t>
      </w:r>
    </w:p>
    <w:p>
      <w:pPr>
        <w:pStyle w:val="ListBullet"/>
        <w:spacing w:after="40"/>
        <w:ind w:left="259" w:hanging="115"/>
      </w:pPr>
      <w:r>
        <w:t>The Median Starting Cost across all 208 properties was €2,381.72.</w:t>
      </w:r>
    </w:p>
    <w:p>
      <w:pPr>
        <w:pStyle w:val="ListBullet"/>
        <w:spacing w:after="40"/>
        <w:ind w:left="259" w:hanging="115"/>
      </w:pPr>
      <w:r>
        <w:t>72 properties had a Starting Cost of €1,500 or less, representing 34.6% of the total.</w:t>
      </w:r>
    </w:p>
    <w:p>
      <w:pPr>
        <w:pStyle w:val="ListBullet"/>
        <w:spacing w:after="40"/>
        <w:ind w:left="259" w:hanging="115"/>
      </w:pPr>
      <w:r>
        <w:t>91 properties had a Starting Cost of €2,000 or less, representing 43.8%.</w:t>
      </w:r>
    </w:p>
    <w:p>
      <w:pPr>
        <w:pStyle w:val="ListBullet"/>
        <w:spacing w:after="40"/>
        <w:ind w:left="259" w:hanging="115"/>
      </w:pPr>
      <w:r>
        <w:t>Properties within 30 kilometres of COP31 had a Median Starting Cost of €3,300, compared with €1,666.50 beyond 30 kilometres.</w:t>
      </w:r>
    </w:p>
    <w:p>
      <w:pPr>
        <w:pStyle w:val="ListBullet"/>
        <w:spacing w:after="40"/>
        <w:ind w:left="259" w:hanging="115"/>
      </w:pPr>
      <w:r>
        <w:t>Of the 72 properties with a Starting Cost of €1,500 or less, 33 showed ten rooms or fewer remaining on the official platform.</w:t>
      </w:r>
    </w:p>
    <w:p>
      <w:pPr>
        <w:pStyle w:val="Heading1"/>
        <w:spacing w:before="180" w:after="80"/>
      </w:pPr>
      <w:r>
        <w:t>Lower-cost options make up a limited share of the market</w:t>
      </w:r>
    </w:p>
    <w:p>
      <w:pPr>
        <w:spacing w:after="120" w:line="254" w:lineRule="auto"/>
      </w:pPr>
      <w:r>
        <w:t>Antalya has a large accommodation sector, but the price distribution on the official COP31 platform shows that lower-cost options account for a relatively small share of the properties available through the system.</w:t>
      </w:r>
    </w:p>
    <w:p>
      <w:pPr>
        <w:spacing w:after="120" w:line="254" w:lineRule="auto"/>
      </w:pPr>
      <w:r>
        <w:t>Half of the 208 properties had a Starting Cost above €2,381.72 for the 11-night period. Properties at €1,000 or less represented just 13.5% of the total.</w:t>
      </w:r>
    </w:p>
    <w:p>
      <w:pPr>
        <w:spacing w:after="120" w:line="254" w:lineRule="auto"/>
      </w:pPr>
      <w:r>
        <w:t>At a threshold of €1,500, the number of properties rose to 72 — around one third of the captured inventory.</w:t>
      </w:r>
    </w:p>
    <w:p>
      <w:pPr>
        <w:spacing w:after="120" w:line="254" w:lineRule="auto"/>
      </w:pPr>
      <w:r>
        <w:t>These price levels are particularly relevant for civil society organisations, researchers, journalists, independent experts and smaller delegations working with limited travel and accommodation budgets.</w:t>
      </w:r>
    </w:p>
    <w:p>
      <w:pPr>
        <w:pStyle w:val="Heading1"/>
        <w:spacing w:before="180" w:after="80"/>
      </w:pPr>
      <w:r>
        <w:t>Lower prices are generally found farther from the venue</w:t>
      </w:r>
    </w:p>
    <w:p>
      <w:pPr>
        <w:spacing w:after="120" w:line="254" w:lineRule="auto"/>
      </w:pPr>
      <w:r>
        <w:t>SICI’s analysis found that lower Starting Costs were generally associated with greater distance from the COP31 venue.</w:t>
      </w:r>
    </w:p>
    <w:p>
      <w:pPr>
        <w:spacing w:after="120" w:line="254" w:lineRule="auto"/>
      </w:pPr>
      <w:r>
        <w:t>Within the broad Antalya area, properties located within 30 kilometres of COP31 had a Median Starting Cost of €2,055.35, compared with €1,127.50 for properties farther than 30 kilometres away.</w:t>
      </w:r>
    </w:p>
    <w:p>
      <w:pPr>
        <w:spacing w:after="120" w:line="254" w:lineRule="auto"/>
      </w:pPr>
      <w:r>
        <w:t>The same pattern was visible when the comparison was limited to Bed &amp; Breakfast properties in Antalya: the median was €1,265 within 30 kilometres and €858 beyond 30 kilometres.</w:t>
      </w:r>
    </w:p>
    <w:p>
      <w:pPr>
        <w:spacing w:after="120" w:line="254" w:lineRule="auto"/>
      </w:pPr>
      <w:r>
        <w:t>Distance is not the only factor affecting price. Property type, location and meal plan also vary across the market, and the analysis does not treat distance as a stand-alone explanation for the differences observed.</w:t>
      </w:r>
    </w:p>
    <w:p>
      <w:pPr>
        <w:pStyle w:val="Heading1"/>
        <w:spacing w:before="180" w:after="80"/>
      </w:pPr>
      <w:r>
        <w:t>Transport will shape how accessible lower-cost accommodation really is</w:t>
      </w:r>
    </w:p>
    <w:p>
      <w:pPr>
        <w:spacing w:after="120" w:line="254" w:lineRule="auto"/>
      </w:pPr>
      <w:r>
        <w:t>The practical value of lower-priced accommodation farther from the venue will depend heavily on transport arrangements during COP31.</w:t>
      </w:r>
    </w:p>
    <w:p>
      <w:pPr>
        <w:spacing w:after="120" w:line="254" w:lineRule="auto"/>
      </w:pPr>
      <w:r>
        <w:t>Shuttle routes, public transport connections, journey times and daily travel costs will influence whether the savings offered by more distant accommodation translate into a practical option for participants.</w:t>
      </w:r>
    </w:p>
    <w:p>
      <w:pPr>
        <w:spacing w:after="120" w:line="254" w:lineRule="auto"/>
      </w:pPr>
      <w:r>
        <w:t>COP31Radar plans to examine accommodation alongside transport and shuttle access in the next stage of the research.</w:t>
      </w:r>
    </w:p>
    <w:p>
      <w:pPr>
        <w:pStyle w:val="Heading1"/>
        <w:spacing w:before="180" w:after="80"/>
      </w:pPr>
      <w:r>
        <w:t>Visible inventory is already limited at some lower-cost properties</w:t>
      </w:r>
    </w:p>
    <w:p>
      <w:pPr>
        <w:spacing w:after="120" w:line="254" w:lineRule="auto"/>
      </w:pPr>
      <w:r>
        <w:t>The official platform also displays the number of rooms remaining through its booking system.</w:t>
      </w:r>
    </w:p>
    <w:p>
      <w:pPr>
        <w:spacing w:after="120" w:line="254" w:lineRule="auto"/>
      </w:pPr>
      <w:r>
        <w:t>In the 22 September snapshot, 56 of the 208 properties showed ten rooms or fewer remaining.</w:t>
      </w:r>
    </w:p>
    <w:p>
      <w:pPr>
        <w:spacing w:after="120" w:line="254" w:lineRule="auto"/>
      </w:pPr>
      <w:r>
        <w:t>Among the 72 properties with a Starting Cost of €1,500 or less, 33 showed ten rooms or fewer remaining.</w:t>
      </w:r>
    </w:p>
    <w:p>
      <w:pPr>
        <w:spacing w:after="120" w:line="254" w:lineRule="auto"/>
      </w:pPr>
      <w:r>
        <w:t>These figures do not represent the total capacity of the hotels. They reflect only the inventory visible through the official COP31 booking platform at the time the data were collected.</w:t>
      </w:r>
    </w:p>
    <w:p>
      <w:pPr>
        <w:pStyle w:val="Heading1"/>
        <w:spacing w:before="180" w:after="80"/>
      </w:pPr>
      <w:r>
        <w:t>Comment from SICI</w:t>
      </w:r>
    </w:p>
    <w:p>
      <w:pPr>
        <w:spacing w:after="120" w:line="254" w:lineRule="auto"/>
      </w:pPr>
      <w:r>
        <w:t>Ersin Tek, Director of SICI, said:</w:t>
      </w:r>
    </w:p>
    <w:tbl>
      <w:tblPr>
        <w:tblW w:type="auto" w:w="0"/>
        <w:jc w:val="center"/>
        <w:tblLayout w:type="fixed"/>
        <w:tblLook w:firstColumn="1" w:firstRow="1" w:lastColumn="0" w:lastRow="0" w:noHBand="0" w:noVBand="1" w:val="04A0"/>
      </w:tblPr>
      <w:tblGrid>
        <w:gridCol w:w="792"/>
        <w:gridCol w:w="9144"/>
      </w:tblGrid>
      <w:tr>
        <w:tc>
          <w:tcPr>
            <w:tcW w:type="dxa" w:w="5141"/>
            <w:shd w:fill="F2F2F2"/>
            <w:tcMar>
              <w:top w:w="120" w:type="dxa"/>
              <w:start w:w="80" w:type="dxa"/>
              <w:bottom w:w="120" w:type="dxa"/>
              <w:end w:w="80" w:type="dxa"/>
            </w:tcMar>
          </w:tcPr>
          <w:p>
            <w:pPr>
              <w:jc w:val="center"/>
            </w:pPr>
            <w:r>
              <w:rPr>
                <w:rFonts w:ascii="Arial" w:hAnsi="Arial"/>
                <w:b/>
                <w:sz w:val="68"/>
              </w:rPr>
              <w:t>“</w:t>
            </w:r>
          </w:p>
        </w:tc>
        <w:tc>
          <w:tcPr>
            <w:tcW w:type="dxa" w:w="5141"/>
            <w:shd w:fill="F2F2F2"/>
            <w:tcMar>
              <w:top w:w="120" w:type="dxa"/>
              <w:start w:w="100" w:type="dxa"/>
              <w:bottom w:w="120" w:type="dxa"/>
              <w:end w:w="130" w:type="dxa"/>
            </w:tcMar>
          </w:tcPr>
          <w:p>
            <w:pPr>
              <w:spacing w:after="0"/>
            </w:pPr>
            <w:r>
              <w:rPr>
                <w:rFonts w:ascii="Arial" w:hAnsi="Arial"/>
                <w:b/>
                <w:sz w:val="22"/>
              </w:rPr>
              <w:t>Inclusiveness at climate summits is often discussed in terms of representation and accreditation. But there are more basic financial and access thresholds that shape participation as well. Accommodation, transport and day-to-day costs directly affect the extent to which actors with fewer resources are able to participate in COP31.</w:t>
            </w:r>
          </w:p>
        </w:tc>
      </w:tr>
    </w:tbl>
    <w:p>
      <w:pPr>
        <w:spacing w:after="120" w:line="254" w:lineRule="auto"/>
      </w:pPr>
      <w:r>
        <w:t>Tek added:</w:t>
      </w:r>
    </w:p>
    <w:tbl>
      <w:tblPr>
        <w:tblW w:type="auto" w:w="0"/>
        <w:jc w:val="center"/>
        <w:tblLayout w:type="fixed"/>
        <w:tblLook w:firstColumn="1" w:firstRow="1" w:lastColumn="0" w:lastRow="0" w:noHBand="0" w:noVBand="1" w:val="04A0"/>
      </w:tblPr>
      <w:tblGrid>
        <w:gridCol w:w="792"/>
        <w:gridCol w:w="9144"/>
      </w:tblGrid>
      <w:tr>
        <w:tc>
          <w:tcPr>
            <w:tcW w:type="dxa" w:w="5141"/>
            <w:shd w:fill="F2F2F2"/>
            <w:tcMar>
              <w:top w:w="120" w:type="dxa"/>
              <w:start w:w="80" w:type="dxa"/>
              <w:bottom w:w="120" w:type="dxa"/>
              <w:end w:w="80" w:type="dxa"/>
            </w:tcMar>
          </w:tcPr>
          <w:p>
            <w:pPr>
              <w:jc w:val="center"/>
            </w:pPr>
            <w:r>
              <w:rPr>
                <w:rFonts w:ascii="Arial" w:hAnsi="Arial"/>
                <w:b/>
                <w:sz w:val="68"/>
              </w:rPr>
              <w:t>“</w:t>
            </w:r>
          </w:p>
        </w:tc>
        <w:tc>
          <w:tcPr>
            <w:tcW w:type="dxa" w:w="5141"/>
            <w:shd w:fill="F2F2F2"/>
            <w:tcMar>
              <w:top w:w="120" w:type="dxa"/>
              <w:start w:w="100" w:type="dxa"/>
              <w:bottom w:w="120" w:type="dxa"/>
              <w:end w:w="130" w:type="dxa"/>
            </w:tcMar>
          </w:tcPr>
          <w:p>
            <w:pPr>
              <w:spacing w:after="0"/>
            </w:pPr>
            <w:r>
              <w:rPr>
                <w:rFonts w:ascii="Arial" w:hAnsi="Arial"/>
                <w:b/>
                <w:sz w:val="22"/>
              </w:rPr>
              <w:t>These costs may not be decisive for companies attending COPs with large budgets. For local communities most affected by the climate crisis, smaller civil society organisations and participants with limited resources, the same costs can become a direct barrier to access.</w:t>
            </w:r>
          </w:p>
        </w:tc>
      </w:tr>
    </w:tbl>
    <w:p>
      <w:pPr>
        <w:pStyle w:val="Heading1"/>
        <w:spacing w:before="180" w:after="80"/>
      </w:pPr>
      <w:r>
        <w:t>Methodology</w:t>
      </w:r>
    </w:p>
    <w:p>
      <w:pPr>
        <w:spacing w:after="120" w:line="254" w:lineRule="auto"/>
      </w:pPr>
      <w:r>
        <w:t>SICI analysed 208 properties available to book on the official COP31 accommodation platform operated by Coral Travel for the period 9–20 November 2026.</w:t>
      </w:r>
    </w:p>
    <w:p>
      <w:pPr>
        <w:spacing w:after="120" w:line="254" w:lineRule="auto"/>
      </w:pPr>
      <w:r>
        <w:t>The data were collected on 22 September 2026.</w:t>
      </w:r>
    </w:p>
    <w:p>
      <w:pPr>
        <w:spacing w:after="120" w:line="254" w:lineRule="auto"/>
      </w:pPr>
      <w:r>
        <w:t>For this research, Starting Cost refers to the 11-night total calculated from the "Price From" rate displayed for each property on the platform.</w:t>
      </w:r>
    </w:p>
    <w:p>
      <w:pPr>
        <w:spacing w:after="120" w:line="254" w:lineRule="auto"/>
      </w:pPr>
      <w:r>
        <w:t>The measure provides a common starting point for comparison across properties. It does not represent every room type or rate available at an individual hotel.</w:t>
      </w:r>
    </w:p>
    <w:p>
      <w:pPr>
        <w:spacing w:after="120" w:line="254" w:lineRule="auto"/>
      </w:pPr>
      <w:r>
        <w:t>Distance from COP31 was displayed for 197 of the 208 properties, and distance-based analysis uses those 197 properties.</w:t>
      </w:r>
    </w:p>
    <w:p>
      <w:pPr>
        <w:spacing w:after="120" w:line="254" w:lineRule="auto"/>
      </w:pPr>
      <w:r>
        <w:t>The platform’s "rooms left" figure reflects only the inventory shown through the COP31 booking system and should not be interpreted as the total capacity of a hotel.</w:t>
      </w:r>
    </w:p>
    <w:p>
      <w:pPr>
        <w:spacing w:after="120" w:line="254" w:lineRule="auto"/>
      </w:pPr>
      <w:r>
        <w:t>Prices and availability may change as bookings are made.</w:t>
      </w:r>
    </w:p>
    <w:p>
      <w:pPr>
        <w:pStyle w:val="Heading1"/>
        <w:spacing w:before="180" w:after="80"/>
      </w:pPr>
      <w:r>
        <w:t>Full research</w:t>
      </w:r>
    </w:p>
    <w:p>
      <w:pPr>
        <w:spacing w:after="120" w:line="254" w:lineRule="auto"/>
      </w:pPr>
      <w:r>
        <w:t>The Cost of COP31: Antalya Access &amp; Affordability Monitor — September 2026</w:t>
      </w:r>
    </w:p>
    <w:p>
      <w:pPr>
        <w:spacing w:after="120" w:line="254" w:lineRule="auto"/>
      </w:pPr>
      <w:r>
        <w:t>Full research: cop31radar.com</w:t>
      </w:r>
    </w:p>
    <w:p>
      <w:pPr>
        <w:spacing w:after="120" w:line="254" w:lineRule="auto"/>
      </w:pPr>
      <w:r>
        <w:t>The dataset and detailed methodology will be made available alongside the research.</w:t>
      </w:r>
    </w:p>
    <w:p>
      <w:pPr>
        <w:pStyle w:val="Heading1"/>
        <w:spacing w:before="180" w:after="80"/>
      </w:pPr>
      <w:r>
        <w:t>About SICI</w:t>
      </w:r>
    </w:p>
    <w:p>
      <w:pPr>
        <w:spacing w:after="120" w:line="254" w:lineRule="auto"/>
      </w:pPr>
      <w:r>
        <w:t>Social Institute of Change and Impact (SICI) works on complex public and institutional challenges through strategy, systems and knowledge. It supports organisations in making clearer decisions, building practical systems and delivering credible action.</w:t>
      </w:r>
    </w:p>
    <w:p>
      <w:pPr>
        <w:spacing w:before="40" w:after="100"/>
        <w:pBdr>
          <w:bottom w:val="single" w:sz="8" w:space="6" w:color="C8C8C8"/>
        </w:pBdr>
      </w:pPr>
    </w:p>
    <w:p>
      <w:pPr>
        <w:pStyle w:val="Heading1"/>
        <w:spacing w:before="180" w:after="80"/>
      </w:pPr>
      <w:r>
        <w:t>About COP31Radar</w:t>
      </w:r>
    </w:p>
    <w:p>
      <w:pPr>
        <w:spacing w:after="120" w:line="254" w:lineRule="auto"/>
      </w:pPr>
      <w:r>
        <w:t>COP31Radar is an independent research and information platform established by SICI to follow the COP31 process from Antalya. It tracks conference preparations, participation, access, implementation and developments in the host city.</w:t>
      </w:r>
    </w:p>
    <w:p>
      <w:pPr>
        <w:spacing w:before="40" w:after="100"/>
        <w:pBdr>
          <w:bottom w:val="single" w:sz="8" w:space="6" w:color="C8C8C8"/>
        </w:pBdr>
      </w:pPr>
    </w:p>
    <w:p>
      <w:pPr>
        <w:pStyle w:val="Heading1"/>
        <w:spacing w:before="180" w:after="80"/>
      </w:pPr>
      <w:r>
        <w:t>About Ersin Tek</w:t>
      </w:r>
    </w:p>
    <w:p>
      <w:pPr>
        <w:spacing w:after="120" w:line="254" w:lineRule="auto"/>
      </w:pPr>
      <w:r>
        <w:t>Ersin Tek is Director of SICI. He previously served as Director of Greenpeace Mediterranean and has more than two decades of experience in civil society, campaigns, organisational strategy and public engagement.</w:t>
      </w:r>
    </w:p>
    <w:p>
      <w:pPr>
        <w:spacing w:before="40" w:after="100"/>
        <w:pBdr>
          <w:bottom w:val="single" w:sz="8" w:space="6" w:color="C8C8C8"/>
        </w:pBdr>
      </w:pPr>
    </w:p>
    <w:p>
      <w:pPr>
        <w:pStyle w:val="Heading1"/>
        <w:spacing w:before="180" w:after="80"/>
      </w:pPr>
      <w:r>
        <w:t>Media enquiries</w:t>
      </w:r>
    </w:p>
    <w:p>
      <w:pPr>
        <w:spacing w:after="120" w:line="254" w:lineRule="auto"/>
      </w:pPr>
      <w:r>
        <w:t>Ersin Tek</w:t>
        <w:br/>
        <w:t>Director, SICI</w:t>
        <w:br/>
        <w:t>Social Institute of Change and Impact</w:t>
        <w:br/>
        <w:t>Email: [EMAIL]</w:t>
        <w:br/>
        <w:t>Website: cop31radar.com</w:t>
      </w:r>
    </w:p>
    <w:p>
      <w:pPr>
        <w:spacing w:after="120" w:line="254" w:lineRule="auto"/>
      </w:pPr>
      <w:r>
        <w:t>Interviews, data, methodology and supporting research materials are available on request.</w:t>
      </w:r>
    </w:p>
    <w:sectPr w:rsidR="00FC693F" w:rsidRPr="0006063C" w:rsidSect="00034616">
      <w:footerReference w:type="default" r:id="rId9"/>
      <w:pgSz w:w="12240" w:h="15840"/>
      <w:pgMar w:top="792" w:right="979" w:bottom="792"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b/>
        <w:sz w:val="15"/>
      </w:rPr>
      <w:t>Research &amp; analysis: SICI   ·   Published by COP31Radar</w:t>
    </w:r>
    <w:r>
      <w:rPr>
        <w:rFonts w:ascii="Arial" w:hAnsi="Arial"/>
        <w:sz w:val="15"/>
      </w:rPr>
      <w:t xml:space="preserve">   ·   Snapshot: 22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color w:val="18181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20"/>
    </w:pPr>
    <w:rPr>
      <w:rFonts w:ascii="Arial" w:hAnsi="Arial"/>
      <w:b/>
      <w:color w:val="484848"/>
      <w:sz w:val="19"/>
    </w:rPr>
  </w:style>
  <w:style w:type="paragraph" w:customStyle="1" w:styleId="Standfirst">
    <w:name w:val="Standfirst"/>
    <w:pPr>
      <w:spacing w:after="200" w:line="259" w:lineRule="auto"/>
    </w:pPr>
    <w:rPr>
      <w:rFonts w:ascii="Arial" w:hAnsi="Arial"/>
      <w:b w:val="0"/>
      <w:color w:val="232323"/>
      <w:sz w:val="22"/>
    </w:rPr>
  </w:style>
  <w:style w:type="paragraph" w:customStyle="1" w:styleId="MetaSmall">
    <w:name w:val="MetaSmall"/>
    <w:rPr>
      <w:rFonts w:ascii="Arial" w:hAnsi="Arial"/>
      <w:color w:val="28282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