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8496"/>
        <w:gridCol w:w="1656"/>
      </w:tblGrid>
      <w:tr>
        <w:tc>
          <w:tcPr>
            <w:tcW w:type="dxa" w:w="5141"/>
            <w:tcMar>
              <w:top w:w="0" w:type="dxa"/>
              <w:start w:w="0" w:type="dxa"/>
              <w:bottom w:w="0" w:type="dxa"/>
              <w:end w:w="0" w:type="dxa"/>
            </w:tcMar>
            <w:tcBorders>
              <w:top w:val="nil"/>
              <w:left w:val="nil"/>
              <w:bottom w:val="nil"/>
              <w:right w:val="nil"/>
              <w:insideH w:val="nil"/>
              <w:insideV w:val="nil"/>
            </w:tcBorders>
          </w:tcPr>
          <w:p>
            <w:pPr>
              <w:pStyle w:val="Kicker"/>
              <w:spacing w:after="0"/>
            </w:pPr>
            <w:r>
              <w:t>BASIN BÜLTENİ</w:t>
            </w:r>
          </w:p>
          <w:p>
            <w:pPr>
              <w:spacing w:after="0"/>
            </w:pPr>
            <w:r>
              <w:rPr>
                <w:rFonts w:ascii="Arial" w:hAnsi="Arial"/>
                <w:color w:val="464646"/>
                <w:sz w:val="20"/>
              </w:rPr>
              <w:t>23 Eylül 2026</w:t>
            </w:r>
          </w:p>
        </w:tc>
        <w:tc>
          <w:tcPr>
            <w:tcW w:type="dxa" w:w="5141"/>
            <w:tcMar>
              <w:top w:w="0" w:type="dxa"/>
              <w:start w:w="0" w:type="dxa"/>
              <w:bottom w:w="0" w:type="dxa"/>
              <w:end w:w="0" w:type="dxa"/>
            </w:tcMar>
            <w:tcBorders>
              <w:top w:val="nil"/>
              <w:left w:val="nil"/>
              <w:bottom w:val="nil"/>
              <w:right w:val="nil"/>
              <w:insideH w:val="nil"/>
              <w:insideV w:val="nil"/>
            </w:tcBorders>
          </w:tcPr>
          <w:p>
            <w:pPr>
              <w:jc w:val="right"/>
            </w:pPr>
            <w:r>
              <w:drawing>
                <wp:inline xmlns:a="http://schemas.openxmlformats.org/drawingml/2006/main" xmlns:pic="http://schemas.openxmlformats.org/drawingml/2006/picture">
                  <wp:extent cx="932688" cy="440436"/>
                  <wp:docPr id="1" name="Picture 1"/>
                  <wp:cNvGraphicFramePr>
                    <a:graphicFrameLocks noChangeAspect="1"/>
                  </wp:cNvGraphicFramePr>
                  <a:graphic>
                    <a:graphicData uri="http://schemas.openxmlformats.org/drawingml/2006/picture">
                      <pic:pic>
                        <pic:nvPicPr>
                          <pic:cNvPr id="0" name="sici_badge_black.png"/>
                          <pic:cNvPicPr/>
                        </pic:nvPicPr>
                        <pic:blipFill>
                          <a:blip r:embed="rId10"/>
                          <a:stretch>
                            <a:fillRect/>
                          </a:stretch>
                        </pic:blipFill>
                        <pic:spPr>
                          <a:xfrm>
                            <a:off x="0" y="0"/>
                            <a:ext cx="932688" cy="440436"/>
                          </a:xfrm>
                          <a:prstGeom prst="rect"/>
                        </pic:spPr>
                      </pic:pic>
                    </a:graphicData>
                  </a:graphic>
                </wp:inline>
              </w:drawing>
            </w:r>
          </w:p>
        </w:tc>
      </w:tr>
    </w:tbl>
    <w:p>
      <w:pPr>
        <w:pStyle w:val="Title"/>
        <w:spacing w:before="200" w:after="160"/>
      </w:pPr>
      <w:r>
        <w:rPr>
          <w:rFonts w:ascii="Arial" w:hAnsi="Arial"/>
          <w:b/>
        </w:rPr>
        <w:t>COP31 döneminde Antalya’da 11 gecelik konaklamanın ortanca başlangıç maliyeti 133 bin TL</w:t>
      </w:r>
    </w:p>
    <w:p>
      <w:pPr>
        <w:pStyle w:val="Standfirst"/>
        <w:pBdr>
          <w:bottom w:val="single" w:sz="6" w:space="6" w:color="C8C8C8"/>
        </w:pBdr>
      </w:pPr>
      <w:r>
        <w:t>SICI’nin resmî COP31 konaklama platformundaki 208 tesisi inceleyen araştırmasına göre, 9–20 Kasım arasındaki konaklama döneminde tesislerin yalnızca %13,5’inde başlangıç maliyeti 55.000 TL veya altında. Konferans alanına yakın tesislerde maliyet belirgin biçimde yükseliyor.</w:t>
      </w:r>
    </w:p>
    <w:p>
      <w:pPr>
        <w:spacing w:after="120" w:line="254" w:lineRule="auto"/>
      </w:pPr>
      <w:r>
        <w:rPr>
          <w:rFonts w:ascii="Arial" w:hAnsi="Arial"/>
          <w:b/>
        </w:rPr>
        <w:t xml:space="preserve">ANTALYA — 23 Eylül 2026 — </w:t>
      </w:r>
      <w:r>
        <w:t>Social Institute of Change and Impact (Değişim ve Etki Sosyal Enstitüsü) – SICI tarafından yapılan yeni bir araştırmaya göre, Kasım ayında Antalya’da düzenlenecek Birleşmiş Milletler İklim Değişikliği Konferansı COP31 sırasında resmî konaklama platformunda yer alan tesislerin ortanca 11 gecelik başlangıç maliyeti yaklaşık 133.000 TL.</w:t>
      </w:r>
    </w:p>
    <w:p>
      <w:pPr>
        <w:spacing w:after="120" w:line="254" w:lineRule="auto"/>
      </w:pPr>
      <w:r>
        <w:t>Araştırma, SICI tarafından COP31 sürecini Antalya’dan takip etmek amacıyla kurulan COP31Radar sitesinde yayımlandı.</w:t>
      </w:r>
    </w:p>
    <w:p>
      <w:pPr>
        <w:spacing w:after="120" w:line="254" w:lineRule="auto"/>
      </w:pPr>
      <w:r>
        <w:t>SICI, COP31’in 9–20 Kasım tarihlerini kapsayan 11 gecelik dönem için resmî konaklama platformunda rezervasyona açık 208 tesisi inceledi. Bu tesislerin yalnızca 28’inde, yani %13,5’inde, başlangıç maliyeti 55.000 TL veya altında kaldı.</w:t>
      </w:r>
    </w:p>
    <w:p>
      <w:pPr>
        <w:spacing w:after="120" w:line="254" w:lineRule="auto"/>
      </w:pPr>
      <w:r>
        <w:t>Konferans alanına yakınlık da fiyatlarda önemli bir fark yaratıyor. COP31’e 30 kilometre veya daha yakın tesislerde ortanca başlangıç maliyeti yaklaşık 184.600 TL iken, 30 kilometreden daha uzaktaki tesislerde yaklaşık 93.200 TL.</w:t>
      </w:r>
    </w:p>
    <w:tbl>
      <w:tblPr>
        <w:tblW w:type="auto" w:w="0"/>
        <w:jc w:val="center"/>
        <w:tblLayout w:type="fixed"/>
        <w:tblLook w:firstColumn="1" w:firstRow="1" w:lastColumn="0" w:lastRow="0" w:noHBand="0" w:noVBand="1" w:val="04A0"/>
      </w:tblPr>
      <w:tblGrid>
        <w:gridCol w:w="5141"/>
        <w:gridCol w:w="5141"/>
      </w:tblGrid>
      <w:tr>
        <w:tc>
          <w:tcPr>
            <w:tcW w:type="dxa" w:w="5141"/>
            <w:tcMar>
              <w:top w:w="150" w:type="dxa"/>
              <w:start w:w="160" w:type="dxa"/>
              <w:bottom w:w="135" w:type="dxa"/>
              <w:end w:w="160" w:type="dxa"/>
            </w:tcMar>
            <w:shd w:fill="000000"/>
            <w:tcBorders>
              <w:top w:val="single" w:sz="14" w:color="FFFFFF"/>
              <w:left w:val="single" w:sz="14" w:color="FFFFFF"/>
              <w:bottom w:val="single" w:sz="14" w:color="FFFFFF"/>
              <w:right w:val="single" w:sz="14" w:color="FFFFFF"/>
            </w:tcBorders>
          </w:tcPr>
          <w:p>
            <w:pPr>
              <w:spacing w:after="20"/>
            </w:pPr>
            <w:r>
              <w:rPr>
                <w:rFonts w:ascii="Arial" w:hAnsi="Arial"/>
                <w:b/>
                <w:color w:val="FFFFFF"/>
                <w:sz w:val="48"/>
              </w:rPr>
              <w:t>133.000 TL</w:t>
            </w:r>
          </w:p>
          <w:p>
            <w:pPr>
              <w:spacing w:after="0"/>
            </w:pPr>
            <w:r>
              <w:rPr>
                <w:rFonts w:ascii="Arial" w:hAnsi="Arial"/>
                <w:color w:val="FFFFFF"/>
                <w:sz w:val="18"/>
              </w:rPr>
              <w:t>Ortanca başlangıç maliyeti</w:t>
            </w:r>
          </w:p>
        </w:tc>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%13,5</w:t>
            </w:r>
          </w:p>
          <w:p>
            <w:pPr>
              <w:spacing w:after="0"/>
            </w:pPr>
            <w:r>
              <w:rPr>
                <w:rFonts w:ascii="Arial" w:hAnsi="Arial"/>
                <w:color w:val="191919"/>
                <w:sz w:val="18"/>
              </w:rPr>
              <w:t>55.000 TL veya altında kalan tesis payı</w:t>
            </w:r>
          </w:p>
        </w:tc>
      </w:tr>
      <w:tr>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184.600 TL</w:t>
            </w:r>
          </w:p>
          <w:p>
            <w:pPr>
              <w:spacing w:after="0"/>
            </w:pPr>
            <w:r>
              <w:rPr>
                <w:rFonts w:ascii="Arial" w:hAnsi="Arial"/>
                <w:color w:val="191919"/>
                <w:sz w:val="18"/>
              </w:rPr>
              <w:t>30 km içinde ortanca başlangıç maliyeti</w:t>
            </w:r>
          </w:p>
        </w:tc>
        <w:tc>
          <w:tcPr>
            <w:tcW w:type="dxa" w:w="5141"/>
            <w:tcMar>
              <w:top w:w="150" w:type="dxa"/>
              <w:start w:w="160" w:type="dxa"/>
              <w:bottom w:w="135" w:type="dxa"/>
              <w:end w:w="160" w:type="dxa"/>
            </w:tcMar>
            <w:shd w:fill="F2F2F2"/>
            <w:tcBorders>
              <w:top w:val="single" w:sz="14" w:color="FFFFFF"/>
              <w:left w:val="single" w:sz="14" w:color="FFFFFF"/>
              <w:bottom w:val="single" w:sz="14" w:color="FFFFFF"/>
              <w:right w:val="single" w:sz="14" w:color="FFFFFF"/>
            </w:tcBorders>
          </w:tcPr>
          <w:p>
            <w:pPr>
              <w:spacing w:after="20"/>
            </w:pPr>
            <w:r>
              <w:rPr>
                <w:rFonts w:ascii="Arial" w:hAnsi="Arial"/>
                <w:b/>
                <w:color w:val="000000"/>
                <w:sz w:val="48"/>
              </w:rPr>
              <w:t>93.200 TL</w:t>
            </w:r>
          </w:p>
          <w:p>
            <w:pPr>
              <w:spacing w:after="0"/>
            </w:pPr>
            <w:r>
              <w:rPr>
                <w:rFonts w:ascii="Arial" w:hAnsi="Arial"/>
                <w:color w:val="191919"/>
                <w:sz w:val="18"/>
              </w:rPr>
              <w:t>30 km dışında ortanca başlangıç maliyeti</w:t>
            </w:r>
          </w:p>
        </w:tc>
      </w:tr>
    </w:tbl>
    <w:p>
      <w:pPr>
        <w:pStyle w:val="Heading1"/>
        <w:spacing w:before="180" w:after="80"/>
      </w:pPr>
      <w:r>
        <w:t>Araştırmadan öne çıkanlar</w:t>
      </w:r>
    </w:p>
    <w:p>
      <w:pPr>
        <w:pStyle w:val="ListBullet"/>
        <w:spacing w:after="40"/>
        <w:ind w:left="259" w:hanging="115"/>
      </w:pPr>
      <w:r>
        <w:t>İncelenen 208 tesisin yalnızca 28’inde başlangıç maliyeti 55.000 TL veya altında.</w:t>
      </w:r>
    </w:p>
    <w:p>
      <w:pPr>
        <w:pStyle w:val="ListBullet"/>
        <w:spacing w:after="40"/>
        <w:ind w:left="259" w:hanging="115"/>
      </w:pPr>
      <w:r>
        <w:t>208 tesisin ortanca başlangıç maliyeti yaklaşık 133.000 TL.</w:t>
      </w:r>
    </w:p>
    <w:p>
      <w:pPr>
        <w:pStyle w:val="ListBullet"/>
        <w:spacing w:after="40"/>
        <w:ind w:left="259" w:hanging="115"/>
      </w:pPr>
      <w:r>
        <w:t>72 tesiste başlangıç maliyeti 83.000 TL veya altında.</w:t>
      </w:r>
    </w:p>
    <w:p>
      <w:pPr>
        <w:pStyle w:val="ListBullet"/>
        <w:spacing w:after="40"/>
        <w:ind w:left="259" w:hanging="115"/>
      </w:pPr>
      <w:r>
        <w:t>91 tesiste başlangıç maliyeti 111.000 TL veya altında.</w:t>
      </w:r>
    </w:p>
    <w:p>
      <w:pPr>
        <w:pStyle w:val="ListBullet"/>
        <w:spacing w:after="40"/>
        <w:ind w:left="259" w:hanging="115"/>
      </w:pPr>
      <w:r>
        <w:t>COP31’e 30 kilometre veya daha yakın tesislerde ortanca başlangıç maliyeti 184.600 TL, daha uzaktaki tesislerde ise 93.200 TL.</w:t>
      </w:r>
    </w:p>
    <w:p>
      <w:pPr>
        <w:pStyle w:val="ListBullet"/>
        <w:spacing w:after="40"/>
        <w:ind w:left="259" w:hanging="115"/>
      </w:pPr>
      <w:r>
        <w:t>Başlangıç maliyeti 83.000 TL veya altında olan 72 tesisin 33’ünde platformda 10 veya daha az oda görünüyordu.</w:t>
      </w:r>
    </w:p>
    <w:p>
      <w:pPr>
        <w:pStyle w:val="Heading1"/>
        <w:spacing w:before="180" w:after="80"/>
      </w:pPr>
      <w:r>
        <w:t>Uygun fiyatlı seçeneklerin payı sınırlı</w:t>
      </w:r>
    </w:p>
    <w:p>
      <w:pPr>
        <w:spacing w:after="120" w:line="254" w:lineRule="auto"/>
      </w:pPr>
      <w:r>
        <w:t>Antalya geniş bir konaklama kapasitesine sahip olsa da resmî COP31 platformundaki fiyat dağılımı, düşük bütçeli seçeneklerin toplam içinde sınırlı kaldığını gösteriyor.</w:t>
      </w:r>
    </w:p>
    <w:p>
      <w:pPr>
        <w:spacing w:after="120" w:line="254" w:lineRule="auto"/>
      </w:pPr>
      <w:r>
        <w:t>208 tesisin yarısında 11 gecelik başlangıç maliyeti 133.000 TL’nin üzerinde. Yaklaşık 55.000 TL veya altındaki tesislerin payı ise %13,5.</w:t>
      </w:r>
    </w:p>
    <w:p>
      <w:pPr>
        <w:spacing w:after="120" w:line="254" w:lineRule="auto"/>
      </w:pPr>
      <w:r>
        <w:t>Başlangıç maliyeti 83.000 TL’ye kadar çıkarıldığında seçenek sayısı 72’ye ulaşıyor. Bu da toplam tesislerin yaklaşık üçte birine karşılık geliyor.</w:t>
      </w:r>
    </w:p>
    <w:p>
      <w:pPr>
        <w:spacing w:after="120" w:line="254" w:lineRule="auto"/>
      </w:pPr>
      <w:r>
        <w:t>Bu fiyat aralıkları özellikle seyahat ve konaklama bütçeleri sınırlı olan sivil toplum kuruluşları, araştırmacılar, gazeteciler, bağımsız uzmanlar ve küçük delegasyonlar açısından önem taşıyor.</w:t>
      </w:r>
    </w:p>
    <w:p>
      <w:pPr>
        <w:pStyle w:val="Heading1"/>
        <w:spacing w:before="180" w:after="80"/>
      </w:pPr>
      <w:r>
        <w:t>Daha düşük fiyatlı tesisler genellikle daha uzakta</w:t>
      </w:r>
    </w:p>
    <w:p>
      <w:pPr>
        <w:spacing w:after="120" w:line="254" w:lineRule="auto"/>
      </w:pPr>
      <w:r>
        <w:t>SICI’nin analizinde, daha düşük başlangıç maliyetlerinin genel olarak konferans alanından daha uzaktaki tesislerde görüldüğü ortaya çıktı.</w:t>
      </w:r>
    </w:p>
    <w:p>
      <w:pPr>
        <w:spacing w:after="120" w:line="254" w:lineRule="auto"/>
      </w:pPr>
      <w:r>
        <w:t>Geniş Antalya bölgesine bakıldığında, COP31’e 30 kilometre veya daha yakın tesislerde ortanca başlangıç maliyeti yaklaşık 115 bin TL. 30 kilometreden daha uzaktaki tesislerde ise ortanca değer yaklaşık 63.100 TL.</w:t>
      </w:r>
    </w:p>
    <w:p>
      <w:pPr>
        <w:spacing w:after="120" w:line="254" w:lineRule="auto"/>
      </w:pPr>
      <w:r>
        <w:t>Antalya’daki oda-kahvaltı tesisleri ayrı incelendiğinde de benzer bir fark görülüyor: 30 kilometre veya daha yakın tesislerde yaklaşık 70.700 TL, daha uzaktakilerde yaklaşık 48 bin TL.</w:t>
      </w:r>
    </w:p>
    <w:p>
      <w:pPr>
        <w:spacing w:after="120" w:line="254" w:lineRule="auto"/>
      </w:pPr>
      <w:r>
        <w:t>Fiyat farkında mesafenin yanı sıra tesis tipi, bölge ve yemek planı gibi unsurlar da etkili. Araştırma bu nedenle mesafenin tek başına fiyatı belirlediği sonucuna varmıyor.</w:t>
      </w:r>
    </w:p>
    <w:p>
      <w:pPr>
        <w:pStyle w:val="Heading1"/>
        <w:spacing w:before="180" w:after="80"/>
      </w:pPr>
      <w:r>
        <w:t>Ulaşım bağlantıları belirleyici olacak</w:t>
      </w:r>
    </w:p>
    <w:p>
      <w:pPr>
        <w:spacing w:after="120" w:line="254" w:lineRule="auto"/>
      </w:pPr>
      <w:r>
        <w:t>Daha uzakta bulunan düşük fiyatlı tesislerin COP31 katılımcıları açısından ne kadar kullanışlı olacağı, konferans dönemindeki ulaşım düzenlemelerine bağlı olacak.</w:t>
      </w:r>
    </w:p>
    <w:p>
      <w:pPr>
        <w:spacing w:after="120" w:line="254" w:lineRule="auto"/>
      </w:pPr>
      <w:r>
        <w:t>Servis güzergâhları, toplu taşıma bağlantıları, seyahat süresi ve günlük ulaşım maliyeti, konaklama fiyatındaki farkın katılımcı açısından ne ölçüde avantaj sağlayacağını belirleyecek.</w:t>
      </w:r>
    </w:p>
    <w:p>
      <w:pPr>
        <w:spacing w:after="120" w:line="254" w:lineRule="auto"/>
      </w:pPr>
      <w:r>
        <w:t>COP31Radar’ın araştırmasının bir sonraki aşamasında konaklama verilerinin ulaşım ve servis erişimiyle birlikte değerlendirilmesi planlanıyor.</w:t>
      </w:r>
    </w:p>
    <w:p>
      <w:pPr>
        <w:pStyle w:val="Heading1"/>
        <w:spacing w:before="180" w:after="80"/>
      </w:pPr>
      <w:r>
        <w:t>Uygun fiyatlı tesislerin bir bölümünde oda stoğu düşük</w:t>
      </w:r>
    </w:p>
    <w:p>
      <w:pPr>
        <w:spacing w:after="120" w:line="254" w:lineRule="auto"/>
      </w:pPr>
      <w:r>
        <w:t>Resmî platformda kalan oda sayısı da tesis bazında gösteriliyor.</w:t>
      </w:r>
    </w:p>
    <w:p>
      <w:pPr>
        <w:spacing w:after="120" w:line="254" w:lineRule="auto"/>
      </w:pPr>
      <w:r>
        <w:t>22 Eylül tarihli görüntüde, 208 tesisin 56’sında 10 veya daha az oda bulunuyordu.</w:t>
      </w:r>
    </w:p>
    <w:p>
      <w:pPr>
        <w:spacing w:after="120" w:line="254" w:lineRule="auto"/>
      </w:pPr>
      <w:r>
        <w:t>Başlangıç maliyeti 83.000 TL veya altında olan 72 tesisin ise 33’ünde 10 veya daha az oda görünüyordu.</w:t>
      </w:r>
    </w:p>
    <w:p>
      <w:pPr>
        <w:spacing w:after="120" w:line="254" w:lineRule="auto"/>
      </w:pPr>
      <w:r>
        <w:t>Bu rakamlar otellerin toplam oda kapasitesini göstermiyor. Yalnızca COP31’in resmî rezervasyon platformu üzerinden o tarihte görünen oda stoğunu yansıtıyor.</w:t>
      </w:r>
    </w:p>
    <w:p>
      <w:pPr>
        <w:pStyle w:val="Heading1"/>
        <w:spacing w:before="180" w:after="80"/>
      </w:pPr>
      <w:r>
        <w:t>SICI’den değerlendirme</w:t>
      </w:r>
    </w:p>
    <w:p>
      <w:pPr>
        <w:spacing w:after="120" w:line="254" w:lineRule="auto"/>
      </w:pPr>
      <w:r>
        <w:t>SICI Direktörü Ersin Tek, araştırmanın COP31’de katılım ve erişim tartışmasının daha geniş bir çerçevede ele alınması gerektiğini gösterdiğini söyledi:</w:t>
      </w:r>
    </w:p>
    <w:tbl>
      <w:tblPr>
        <w:tblW w:type="auto" w:w="0"/>
        <w:jc w:val="center"/>
        <w:tblLayout w:type="fixed"/>
        <w:tblLook w:firstColumn="1" w:firstRow="1" w:lastColumn="0" w:lastRow="0" w:noHBand="0" w:noVBand="1" w:val="04A0"/>
      </w:tblPr>
      <w:tblGrid>
        <w:gridCol w:w="792"/>
        <w:gridCol w:w="9144"/>
      </w:tblGrid>
      <w:tr>
        <w:tc>
          <w:tcPr>
            <w:tcW w:type="dxa" w:w="5141"/>
            <w:shd w:fill="F2F2F2"/>
            <w:tcMar>
              <w:top w:w="120" w:type="dxa"/>
              <w:start w:w="80" w:type="dxa"/>
              <w:bottom w:w="120" w:type="dxa"/>
              <w:end w:w="80" w:type="dxa"/>
            </w:tcMar>
          </w:tcPr>
          <w:p>
            <w:pPr>
              <w:jc w:val="center"/>
            </w:pPr>
            <w:r>
              <w:rPr>
                <w:rFonts w:ascii="Arial" w:hAnsi="Arial"/>
                <w:b/>
                <w:sz w:val="68"/>
              </w:rPr>
              <w:t>“</w:t>
            </w:r>
          </w:p>
        </w:tc>
        <w:tc>
          <w:tcPr>
            <w:tcW w:type="dxa" w:w="5141"/>
            <w:shd w:fill="F2F2F2"/>
            <w:tcMar>
              <w:top w:w="120" w:type="dxa"/>
              <w:start w:w="100" w:type="dxa"/>
              <w:bottom w:w="120" w:type="dxa"/>
              <w:end w:w="130" w:type="dxa"/>
            </w:tcMar>
          </w:tcPr>
          <w:p>
            <w:pPr>
              <w:spacing w:after="0"/>
            </w:pPr>
            <w:r>
              <w:rPr>
                <w:rFonts w:ascii="Arial" w:hAnsi="Arial"/>
                <w:b/>
                <w:sz w:val="22"/>
              </w:rPr>
              <w:t>İklim zirvelerinde kapsayıcılık çoğu zaman temsil ve akreditasyon üzerinden tartışılıyor. Oysa katılımın önünde daha temel maliyet ve erişim eşikleri de var. Konaklama, ulaşım ve günlük yaşam maliyetleri özellikle daha sınırlı kaynaklara sahip aktörlerin COP31’e ne ölçüde katılabileceğini doğrudan etkiliyor.</w:t>
            </w:r>
          </w:p>
        </w:tc>
      </w:tr>
    </w:tbl>
    <w:p>
      <w:pPr>
        <w:spacing w:after="120" w:line="254" w:lineRule="auto"/>
      </w:pPr>
      <w:r>
        <w:t>Tek, maliyetlerin farklı katılımcılar üzerindeki etkisinin aynı olmadığını belirtti:</w:t>
      </w:r>
    </w:p>
    <w:tbl>
      <w:tblPr>
        <w:tblW w:type="auto" w:w="0"/>
        <w:jc w:val="center"/>
        <w:tblLayout w:type="fixed"/>
        <w:tblLook w:firstColumn="1" w:firstRow="1" w:lastColumn="0" w:lastRow="0" w:noHBand="0" w:noVBand="1" w:val="04A0"/>
      </w:tblPr>
      <w:tblGrid>
        <w:gridCol w:w="792"/>
        <w:gridCol w:w="9144"/>
      </w:tblGrid>
      <w:tr>
        <w:tc>
          <w:tcPr>
            <w:tcW w:type="dxa" w:w="5141"/>
            <w:shd w:fill="F2F2F2"/>
            <w:tcMar>
              <w:top w:w="120" w:type="dxa"/>
              <w:start w:w="80" w:type="dxa"/>
              <w:bottom w:w="120" w:type="dxa"/>
              <w:end w:w="80" w:type="dxa"/>
            </w:tcMar>
          </w:tcPr>
          <w:p>
            <w:pPr>
              <w:jc w:val="center"/>
            </w:pPr>
            <w:r>
              <w:rPr>
                <w:rFonts w:ascii="Arial" w:hAnsi="Arial"/>
                <w:b/>
                <w:sz w:val="68"/>
              </w:rPr>
              <w:t>“</w:t>
            </w:r>
          </w:p>
        </w:tc>
        <w:tc>
          <w:tcPr>
            <w:tcW w:type="dxa" w:w="5141"/>
            <w:shd w:fill="F2F2F2"/>
            <w:tcMar>
              <w:top w:w="120" w:type="dxa"/>
              <w:start w:w="100" w:type="dxa"/>
              <w:bottom w:w="120" w:type="dxa"/>
              <w:end w:w="130" w:type="dxa"/>
            </w:tcMar>
          </w:tcPr>
          <w:p>
            <w:pPr>
              <w:spacing w:after="0"/>
            </w:pPr>
            <w:r>
              <w:rPr>
                <w:rFonts w:ascii="Arial" w:hAnsi="Arial"/>
                <w:b/>
                <w:sz w:val="22"/>
              </w:rPr>
              <w:t>Bu maliyetler, COP’a büyük bütçelerle katılan şirketler için çoğu zaman belirleyici değil. İklim krizinden en fazla etkilenen yerel topluluklar, küçük sivil toplum örgütleri ve sınırlı kaynaklara sahip katılımcılar için ise doğrudan bir erişim engeline dönüşebiliyor.</w:t>
            </w:r>
          </w:p>
        </w:tc>
      </w:tr>
    </w:tbl>
    <w:p>
      <w:pPr>
        <w:pStyle w:val="Heading1"/>
        <w:spacing w:before="180" w:after="80"/>
      </w:pPr>
      <w:r>
        <w:t>Araştırma nasıl yapıldı?</w:t>
      </w:r>
    </w:p>
    <w:p>
      <w:pPr>
        <w:spacing w:after="120" w:line="254" w:lineRule="auto"/>
      </w:pPr>
      <w:r>
        <w:t>SICI, Coral Travel tarafından işletilen COP31 resmî konaklama platformunda 9–20 Kasım 2026 tarihleri için rezervasyona açık 208 tesisi inceledi.</w:t>
      </w:r>
    </w:p>
    <w:p>
      <w:pPr>
        <w:spacing w:after="120" w:line="254" w:lineRule="auto"/>
      </w:pPr>
      <w:r>
        <w:t>Veriler 22 Eylül 2026 tarihinde toplandı.</w:t>
      </w:r>
    </w:p>
    <w:p>
      <w:pPr>
        <w:spacing w:after="120" w:line="254" w:lineRule="auto"/>
      </w:pPr>
      <w:r>
        <w:t>Araştırmada kullanılan başlangıç maliyeti, her tesis için platformda gösterilen "Price From" tutarının 11 gecelik COP31 dönemi için hesaplanmış toplamını ifade ediyor.</w:t>
      </w:r>
    </w:p>
    <w:p>
      <w:pPr>
        <w:spacing w:after="120" w:line="254" w:lineRule="auto"/>
      </w:pPr>
      <w:r>
        <w:t>Bu değer, tesislerde sunulan tüm oda ve fiyat seçeneklerini kapsamıyor; tesisler arasında ortak bir başlangıç noktası üzerinden karşılaştırma yapılmasını sağlıyor.</w:t>
      </w:r>
    </w:p>
    <w:p>
      <w:pPr>
        <w:spacing w:after="120" w:line="254" w:lineRule="auto"/>
      </w:pPr>
      <w:r>
        <w:t>208 tesisin 197’sinde COP31’e uzaklık bilgisi yer aldığı için mesafeye ilişkin analizler bu 197 tesis üzerinden yapıldı.</w:t>
      </w:r>
    </w:p>
    <w:p>
      <w:pPr>
        <w:spacing w:after="120" w:line="254" w:lineRule="auto"/>
      </w:pPr>
      <w:r>
        <w:t>Platformdaki "kalan oda" bilgisi de otellerin toplam kapasitesini değil, yalnızca COP31 rezervasyon sistemi üzerinden görünen mevcut stoğu gösteriyor.</w:t>
      </w:r>
    </w:p>
    <w:p>
      <w:pPr>
        <w:spacing w:after="120" w:line="254" w:lineRule="auto"/>
      </w:pPr>
      <w:r>
        <w:t>Fiyatlar ve müsaitlik rezervasyonlara bağlı olarak değişebilir.</w:t>
      </w:r>
    </w:p>
    <w:p>
      <w:pPr>
        <w:pStyle w:val="Heading1"/>
        <w:spacing w:before="180" w:after="80"/>
      </w:pPr>
      <w:r>
        <w:t>Araştırmanın tamamı</w:t>
      </w:r>
    </w:p>
    <w:p>
      <w:pPr>
        <w:spacing w:after="120" w:line="254" w:lineRule="auto"/>
      </w:pPr>
      <w:r>
        <w:t>The Cost of COP31: Antalya Access &amp; Affordability Monitor — September 2026</w:t>
      </w:r>
    </w:p>
    <w:p>
      <w:pPr>
        <w:spacing w:after="120" w:line="254" w:lineRule="auto"/>
      </w:pPr>
      <w:r>
        <w:t>Araştırma: cop31radar.com</w:t>
      </w:r>
    </w:p>
    <w:p>
      <w:pPr>
        <w:spacing w:after="120" w:line="254" w:lineRule="auto"/>
      </w:pPr>
      <w:r>
        <w:t>Veri seti ve ayrıntılı metodoloji araştırmayla birlikte yayımlanacaktır.</w:t>
      </w:r>
    </w:p>
    <w:p>
      <w:pPr>
        <w:pStyle w:val="Heading1"/>
        <w:spacing w:before="180" w:after="80"/>
      </w:pPr>
      <w:r>
        <w:t>SICI Hakkında</w:t>
      </w:r>
    </w:p>
    <w:p>
      <w:pPr>
        <w:spacing w:after="120" w:line="254" w:lineRule="auto"/>
      </w:pPr>
      <w:r>
        <w:t>Social Institute of Change and Impact (Değişim ve Etki Sosyal Enstitüsü) – SICI, karmaşık kamusal ve kurumsal sorunlar üzerinde strateji, sistemler ve bilgi alanlarında çalışır. Kurumların daha net kararlar almasına, uygulanabilir sistemler kurmasına ve güvenilir sonuçlar üretmesine destek olur.</w:t>
      </w:r>
    </w:p>
    <w:p>
      <w:pPr>
        <w:spacing w:before="40" w:after="100"/>
        <w:pBdr>
          <w:bottom w:val="single" w:sz="8" w:space="6" w:color="C8C8C8"/>
        </w:pBdr>
      </w:pPr>
    </w:p>
    <w:p>
      <w:pPr>
        <w:pStyle w:val="Heading1"/>
        <w:spacing w:before="180" w:after="80"/>
      </w:pPr>
      <w:r>
        <w:t>COP31Radar Hakkında</w:t>
      </w:r>
    </w:p>
    <w:p>
      <w:pPr>
        <w:spacing w:after="120" w:line="254" w:lineRule="auto"/>
      </w:pPr>
      <w:r>
        <w:t>COP31Radar, SICI tarafından COP31 sürecini Antalya’dan takip etmek amacıyla kurulan bağımsız araştırma ve bilgi platformudur. Konferans hazırlıklarını, katılım koşullarını, erişimi, uygulamayı ve Antalya’daki gelişmeleri takip eder.</w:t>
      </w:r>
    </w:p>
    <w:p>
      <w:pPr>
        <w:spacing w:before="40" w:after="100"/>
        <w:pBdr>
          <w:bottom w:val="single" w:sz="8" w:space="6" w:color="C8C8C8"/>
        </w:pBdr>
      </w:pPr>
    </w:p>
    <w:p>
      <w:pPr>
        <w:pStyle w:val="Heading1"/>
        <w:spacing w:before="180" w:after="80"/>
      </w:pPr>
      <w:r>
        <w:t>Ersin Tek Hakkında</w:t>
      </w:r>
    </w:p>
    <w:p>
      <w:pPr>
        <w:spacing w:after="120" w:line="254" w:lineRule="auto"/>
      </w:pPr>
      <w:r>
        <w:t>Ersin Tek, SICI Direktörüdür. Daha önce Greenpeace Akdeniz Direktörü olarak görev yaptı. Sivil toplum, kampanyalar, kurumsal strateji ve kamu iletişimi alanlarında 20 yılı aşkın deneyime sahiptir.</w:t>
      </w:r>
    </w:p>
    <w:p>
      <w:pPr>
        <w:spacing w:before="40" w:after="100"/>
        <w:pBdr>
          <w:bottom w:val="single" w:sz="8" w:space="6" w:color="C8C8C8"/>
        </w:pBdr>
      </w:pPr>
    </w:p>
    <w:p>
      <w:pPr>
        <w:pStyle w:val="Heading1"/>
        <w:spacing w:before="180" w:after="80"/>
      </w:pPr>
      <w:r>
        <w:t>Basın iletişimi</w:t>
      </w:r>
    </w:p>
    <w:p>
      <w:pPr>
        <w:spacing w:after="120" w:line="254" w:lineRule="auto"/>
      </w:pPr>
      <w:r>
        <w:t>Ersin Tek</w:t>
        <w:br/>
        <w:t>SICI Direktörü</w:t>
        <w:br/>
        <w:t>Social Institute of Change and Impact (Değişim ve Etki Sosyal Enstitüsü) – SICI</w:t>
        <w:br/>
        <w:t>E-posta: [EMAIL]</w:t>
        <w:br/>
        <w:t>Web: cop31radar.com</w:t>
      </w:r>
    </w:p>
    <w:p>
      <w:pPr>
        <w:spacing w:after="120" w:line="254" w:lineRule="auto"/>
      </w:pPr>
      <w:r>
        <w:t>Röportaj, veri ve metodoloji talepleri için iletişime geçilebilir.</w:t>
      </w:r>
    </w:p>
    <w:p>
      <w:pPr>
        <w:pStyle w:val="MetaSmall"/>
      </w:pPr>
      <w:r>
        <w:rPr>
          <w:i/>
        </w:rPr>
        <w:t>* TL karşılıkları, 23 Eylül 2026 tarihindeki güncel kur üzerinden platformdaki Euro tutarlarından çevrilmiştir. Hesaplamalarda 1 € = 55,9284 TL kullanılmış; metindeki tutarlar okunabilirlik için yuvarlanmıştır.</w:t>
      </w:r>
    </w:p>
    <w:sectPr w:rsidR="00FC693F" w:rsidRPr="0006063C" w:rsidSect="00034616">
      <w:footerReference w:type="default" r:id="rId9"/>
      <w:pgSz w:w="12240" w:h="15840"/>
      <w:pgMar w:top="792" w:right="979" w:bottom="792" w:left="979"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sz w:val="15"/>
      </w:rPr>
      <w:t>Research &amp; analysis: SICI   ·   Published by COP31Radar</w:t>
    </w:r>
    <w:r>
      <w:rPr>
        <w:rFonts w:ascii="Arial" w:hAnsi="Arial"/>
        <w:sz w:val="15"/>
      </w:rPr>
      <w:t xml:space="preserve">   ·   Snapshot: 22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18181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20"/>
    </w:pPr>
    <w:rPr>
      <w:rFonts w:ascii="Arial" w:hAnsi="Arial"/>
      <w:b/>
      <w:color w:val="484848"/>
      <w:sz w:val="19"/>
    </w:rPr>
  </w:style>
  <w:style w:type="paragraph" w:customStyle="1" w:styleId="Standfirst">
    <w:name w:val="Standfirst"/>
    <w:pPr>
      <w:spacing w:after="200" w:line="259" w:lineRule="auto"/>
    </w:pPr>
    <w:rPr>
      <w:rFonts w:ascii="Arial" w:hAnsi="Arial"/>
      <w:b w:val="0"/>
      <w:color w:val="232323"/>
      <w:sz w:val="22"/>
    </w:rPr>
  </w:style>
  <w:style w:type="paragraph" w:customStyle="1" w:styleId="MetaSmall">
    <w:name w:val="MetaSmall"/>
    <w:rPr>
      <w:rFonts w:ascii="Arial" w:hAnsi="Arial"/>
      <w:color w:val="28282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